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</w:t>
      </w:r>
      <w:r w:rsidR="008B0CDD">
        <w:rPr>
          <w:rFonts w:ascii="Times New Roman" w:hAnsi="Times New Roman" w:cs="Times New Roman"/>
          <w:b/>
          <w:sz w:val="28"/>
          <w:szCs w:val="28"/>
        </w:rPr>
        <w:t>утузовский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B7C02">
        <w:rPr>
          <w:rFonts w:ascii="Times New Roman" w:hAnsi="Times New Roman" w:cs="Times New Roman"/>
          <w:b/>
          <w:sz w:val="28"/>
          <w:szCs w:val="28"/>
        </w:rPr>
        <w:t>2</w:t>
      </w:r>
      <w:r w:rsidR="005700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</w:t>
      </w:r>
      <w:r w:rsidR="00CB7C02">
        <w:rPr>
          <w:rFonts w:ascii="Times New Roman" w:hAnsi="Times New Roman" w:cs="Times New Roman"/>
          <w:sz w:val="28"/>
          <w:szCs w:val="28"/>
        </w:rPr>
        <w:t>ности налоговых расходов за 202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</w:t>
      </w:r>
      <w:r w:rsidR="008B0CDD">
        <w:rPr>
          <w:rFonts w:ascii="Times New Roman" w:hAnsi="Times New Roman" w:cs="Times New Roman"/>
          <w:sz w:val="28"/>
          <w:szCs w:val="28"/>
        </w:rPr>
        <w:t>утузовский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212CF4">
        <w:rPr>
          <w:rFonts w:ascii="Times New Roman" w:hAnsi="Times New Roman" w:cs="Times New Roman"/>
          <w:sz w:val="28"/>
          <w:szCs w:val="28"/>
        </w:rPr>
        <w:t>5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CB7C02">
        <w:rPr>
          <w:rFonts w:ascii="Times New Roman" w:hAnsi="Times New Roman" w:cs="Times New Roman"/>
          <w:sz w:val="28"/>
          <w:szCs w:val="28"/>
        </w:rPr>
        <w:t>4</w:t>
      </w:r>
      <w:r w:rsidR="00EF3CB0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по Самарской области № 5-МН «О налоговой базе и структуре начислений по местным налогам» за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CB7C02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002A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570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002A" w:rsidRDefault="0057002A" w:rsidP="0057002A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57002A" w:rsidRPr="007F7959" w:rsidRDefault="0057002A" w:rsidP="0057002A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Кутузовский.</w:t>
      </w:r>
      <w:proofErr w:type="gramEnd"/>
    </w:p>
    <w:p w:rsidR="002E1869" w:rsidRPr="00D83627" w:rsidRDefault="00191DC5" w:rsidP="0057002A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8B0CDD">
        <w:rPr>
          <w:rFonts w:ascii="Times New Roman" w:hAnsi="Times New Roman" w:cs="Times New Roman"/>
          <w:sz w:val="28"/>
          <w:szCs w:val="28"/>
        </w:rPr>
        <w:t>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CB7C02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2CF4">
        <w:rPr>
          <w:rFonts w:ascii="Times New Roman" w:hAnsi="Times New Roman" w:cs="Times New Roman"/>
          <w:sz w:val="28"/>
          <w:szCs w:val="28"/>
        </w:rPr>
        <w:t xml:space="preserve"> </w:t>
      </w:r>
      <w:r w:rsidR="000851D6">
        <w:rPr>
          <w:rFonts w:ascii="Times New Roman" w:hAnsi="Times New Roman" w:cs="Times New Roman"/>
          <w:sz w:val="28"/>
          <w:szCs w:val="28"/>
        </w:rPr>
        <w:t>49</w:t>
      </w:r>
      <w:r w:rsidR="0057002A">
        <w:rPr>
          <w:rFonts w:ascii="Times New Roman" w:hAnsi="Times New Roman" w:cs="Times New Roman"/>
          <w:sz w:val="28"/>
          <w:szCs w:val="28"/>
        </w:rPr>
        <w:t>8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</w:t>
      </w:r>
      <w:r w:rsidR="00CB7C02">
        <w:rPr>
          <w:rFonts w:ascii="Times New Roman" w:hAnsi="Times New Roman" w:cs="Times New Roman"/>
          <w:sz w:val="28"/>
          <w:szCs w:val="28"/>
        </w:rPr>
        <w:t>икам (выпадающие доходы) за 202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A4C63">
        <w:rPr>
          <w:rFonts w:ascii="Times New Roman" w:hAnsi="Times New Roman" w:cs="Times New Roman"/>
          <w:sz w:val="28"/>
          <w:szCs w:val="28"/>
        </w:rPr>
        <w:t>2</w:t>
      </w:r>
      <w:r w:rsidR="000851D6">
        <w:rPr>
          <w:rFonts w:ascii="Times New Roman" w:hAnsi="Times New Roman" w:cs="Times New Roman"/>
          <w:sz w:val="28"/>
          <w:szCs w:val="28"/>
        </w:rPr>
        <w:t>3</w:t>
      </w:r>
      <w:r w:rsidR="0057002A">
        <w:rPr>
          <w:rFonts w:ascii="Times New Roman" w:hAnsi="Times New Roman" w:cs="Times New Roman"/>
          <w:sz w:val="28"/>
          <w:szCs w:val="28"/>
        </w:rPr>
        <w:t>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B0CD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8B0CDD" w:rsidRPr="008B0CDD">
        <w:rPr>
          <w:rFonts w:ascii="Times New Roman" w:hAnsi="Times New Roman" w:cs="Times New Roman"/>
          <w:b/>
          <w:sz w:val="28"/>
          <w:szCs w:val="28"/>
        </w:rPr>
        <w:t>Кутузовский</w:t>
      </w:r>
      <w:r w:rsidRPr="008B0CD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</w:t>
      </w:r>
      <w:r w:rsidR="0057002A" w:rsidRPr="0057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02A">
        <w:rPr>
          <w:rFonts w:ascii="Times New Roman" w:eastAsia="Times New Roman" w:hAnsi="Times New Roman" w:cs="Times New Roman"/>
          <w:sz w:val="28"/>
          <w:szCs w:val="28"/>
        </w:rPr>
        <w:t xml:space="preserve">физическим лицам, имеющим трех и более несовершеннолетних детей;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57002A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63" w:type="dxa"/>
        <w:tblLook w:val="04A0"/>
      </w:tblPr>
      <w:tblGrid>
        <w:gridCol w:w="3185"/>
        <w:gridCol w:w="1109"/>
        <w:gridCol w:w="1109"/>
        <w:gridCol w:w="1109"/>
        <w:gridCol w:w="1267"/>
        <w:gridCol w:w="1384"/>
      </w:tblGrid>
      <w:tr w:rsidR="0057002A" w:rsidRPr="00D83627" w:rsidTr="0057002A">
        <w:tc>
          <w:tcPr>
            <w:tcW w:w="3185" w:type="dxa"/>
          </w:tcPr>
          <w:p w:rsidR="0057002A" w:rsidRPr="00D83627" w:rsidRDefault="0057002A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9" w:type="dxa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09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7" w:type="dxa"/>
            <w:vAlign w:val="center"/>
          </w:tcPr>
          <w:p w:rsidR="0057002A" w:rsidRPr="00D83627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57002A" w:rsidRPr="00D83627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7002A" w:rsidRPr="00D83627" w:rsidTr="0057002A">
        <w:tc>
          <w:tcPr>
            <w:tcW w:w="3185" w:type="dxa"/>
          </w:tcPr>
          <w:p w:rsidR="0057002A" w:rsidRPr="00D83627" w:rsidRDefault="0057002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57002A" w:rsidRDefault="0057002A" w:rsidP="005700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9" w:type="dxa"/>
            <w:vAlign w:val="center"/>
          </w:tcPr>
          <w:p w:rsidR="0057002A" w:rsidRDefault="0057002A" w:rsidP="005700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9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7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57002A" w:rsidRPr="00D83627" w:rsidRDefault="0057002A" w:rsidP="00AA4C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99</w:t>
            </w:r>
          </w:p>
        </w:tc>
      </w:tr>
      <w:tr w:rsidR="0057002A" w:rsidRPr="00D83627" w:rsidTr="0057002A">
        <w:tc>
          <w:tcPr>
            <w:tcW w:w="3185" w:type="dxa"/>
          </w:tcPr>
          <w:p w:rsidR="0057002A" w:rsidRPr="00D83627" w:rsidRDefault="0057002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57002A" w:rsidRDefault="0057002A" w:rsidP="005700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1109" w:type="dxa"/>
            <w:vAlign w:val="center"/>
          </w:tcPr>
          <w:p w:rsidR="0057002A" w:rsidRDefault="0057002A" w:rsidP="005700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109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67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384" w:type="dxa"/>
            <w:vAlign w:val="center"/>
          </w:tcPr>
          <w:p w:rsidR="0057002A" w:rsidRPr="00D83627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  <w:tr w:rsidR="0057002A" w:rsidRPr="00D83627" w:rsidTr="0057002A">
        <w:tc>
          <w:tcPr>
            <w:tcW w:w="3185" w:type="dxa"/>
          </w:tcPr>
          <w:p w:rsidR="0057002A" w:rsidRPr="00D83627" w:rsidRDefault="0057002A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Востребованность, %</w:t>
            </w:r>
          </w:p>
        </w:tc>
        <w:tc>
          <w:tcPr>
            <w:tcW w:w="1109" w:type="dxa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09" w:type="dxa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09" w:type="dxa"/>
            <w:vAlign w:val="center"/>
          </w:tcPr>
          <w:p w:rsidR="0057002A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67" w:type="dxa"/>
            <w:vAlign w:val="center"/>
          </w:tcPr>
          <w:p w:rsidR="0057002A" w:rsidRPr="00D83627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57002A" w:rsidRPr="00D83627" w:rsidRDefault="0057002A" w:rsidP="00AA4C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0851D6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57002A">
        <w:rPr>
          <w:rFonts w:ascii="Times New Roman" w:hAnsi="Times New Roman" w:cs="Times New Roman"/>
          <w:sz w:val="28"/>
          <w:szCs w:val="28"/>
        </w:rPr>
        <w:t>увеличилась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 за 20</w:t>
      </w:r>
      <w:r w:rsidR="005C4DB7">
        <w:rPr>
          <w:rFonts w:ascii="Times New Roman" w:hAnsi="Times New Roman" w:cs="Times New Roman"/>
          <w:sz w:val="28"/>
          <w:szCs w:val="28"/>
        </w:rPr>
        <w:t>2</w:t>
      </w:r>
      <w:r w:rsidR="0057002A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7002A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7002A">
        <w:rPr>
          <w:rFonts w:ascii="Times New Roman" w:hAnsi="Times New Roman" w:cs="Times New Roman"/>
          <w:sz w:val="28"/>
          <w:szCs w:val="28"/>
        </w:rPr>
        <w:t xml:space="preserve">в 2022 году – 4 тыс. рублей, </w:t>
      </w:r>
      <w:r w:rsidR="000851D6">
        <w:rPr>
          <w:rFonts w:ascii="Times New Roman" w:hAnsi="Times New Roman" w:cs="Times New Roman"/>
          <w:sz w:val="28"/>
          <w:szCs w:val="28"/>
        </w:rPr>
        <w:t xml:space="preserve">в 2021 году – 2 тыс. рублей, </w:t>
      </w:r>
      <w:r w:rsidR="00AA4C63">
        <w:rPr>
          <w:rFonts w:ascii="Times New Roman" w:hAnsi="Times New Roman" w:cs="Times New Roman"/>
          <w:sz w:val="28"/>
          <w:szCs w:val="28"/>
        </w:rPr>
        <w:t>в 2020 году – 2 тыс</w:t>
      </w:r>
      <w:proofErr w:type="gramStart"/>
      <w:r w:rsidR="00AA4C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4C63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7661E0">
        <w:rPr>
          <w:rFonts w:ascii="Times New Roman" w:hAnsi="Times New Roman" w:cs="Times New Roman"/>
          <w:sz w:val="28"/>
          <w:szCs w:val="28"/>
        </w:rPr>
        <w:t xml:space="preserve">в 2019 году – 28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06B70">
        <w:rPr>
          <w:rFonts w:ascii="Times New Roman" w:hAnsi="Times New Roman" w:cs="Times New Roman"/>
          <w:sz w:val="28"/>
          <w:szCs w:val="28"/>
        </w:rPr>
        <w:t>27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006B70">
        <w:rPr>
          <w:rFonts w:ascii="Times New Roman" w:hAnsi="Times New Roman" w:cs="Times New Roman"/>
          <w:sz w:val="28"/>
          <w:szCs w:val="28"/>
        </w:rPr>
        <w:t>30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666ED"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</w:t>
      </w:r>
      <w:r w:rsidR="007661E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700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57002A" w:rsidRPr="00D83627" w:rsidRDefault="0057002A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02A" w:rsidRDefault="0057002A" w:rsidP="0057002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02A" w:rsidRPr="00D83627" w:rsidRDefault="0057002A" w:rsidP="0057002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02A" w:rsidRPr="00D83627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002A" w:rsidRPr="00D83627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57002A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Кутузовский данной льготой воспользовались 2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57002A" w:rsidRPr="00D83627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57002A" w:rsidRPr="00D83627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02A" w:rsidRPr="00D83627" w:rsidRDefault="0057002A" w:rsidP="0057002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Кутузовский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02A" w:rsidRPr="00D83627" w:rsidRDefault="0057002A" w:rsidP="0057002A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02A" w:rsidRPr="00D83627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57002A" w:rsidRDefault="0057002A" w:rsidP="0057002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Кутузовский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57002A" w:rsidRDefault="0057002A" w:rsidP="005700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33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57002A" w:rsidRDefault="0057002A" w:rsidP="005700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06B70"/>
    <w:rsid w:val="000135E7"/>
    <w:rsid w:val="00016B02"/>
    <w:rsid w:val="0005565C"/>
    <w:rsid w:val="0006187E"/>
    <w:rsid w:val="00082BA9"/>
    <w:rsid w:val="000851D6"/>
    <w:rsid w:val="00094476"/>
    <w:rsid w:val="000B67BB"/>
    <w:rsid w:val="000D77FF"/>
    <w:rsid w:val="00173B72"/>
    <w:rsid w:val="00191DC5"/>
    <w:rsid w:val="00206EEF"/>
    <w:rsid w:val="00212CF4"/>
    <w:rsid w:val="00230352"/>
    <w:rsid w:val="00275110"/>
    <w:rsid w:val="00297DA9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E17DF"/>
    <w:rsid w:val="003F42FF"/>
    <w:rsid w:val="00485C59"/>
    <w:rsid w:val="004C4266"/>
    <w:rsid w:val="004D2C1F"/>
    <w:rsid w:val="004E4F72"/>
    <w:rsid w:val="00503165"/>
    <w:rsid w:val="0050333C"/>
    <w:rsid w:val="00514D64"/>
    <w:rsid w:val="0057002A"/>
    <w:rsid w:val="0059282E"/>
    <w:rsid w:val="005A7603"/>
    <w:rsid w:val="005B53CA"/>
    <w:rsid w:val="005C4DB7"/>
    <w:rsid w:val="00636209"/>
    <w:rsid w:val="00646F11"/>
    <w:rsid w:val="00651289"/>
    <w:rsid w:val="00685D5F"/>
    <w:rsid w:val="006B455B"/>
    <w:rsid w:val="006C6045"/>
    <w:rsid w:val="006E3593"/>
    <w:rsid w:val="006F72E1"/>
    <w:rsid w:val="0070712D"/>
    <w:rsid w:val="007203C3"/>
    <w:rsid w:val="007661E0"/>
    <w:rsid w:val="007666ED"/>
    <w:rsid w:val="008029A7"/>
    <w:rsid w:val="00830DC9"/>
    <w:rsid w:val="00832243"/>
    <w:rsid w:val="00844CF2"/>
    <w:rsid w:val="00887D6F"/>
    <w:rsid w:val="008A0920"/>
    <w:rsid w:val="008B0CDD"/>
    <w:rsid w:val="00913F79"/>
    <w:rsid w:val="009201D8"/>
    <w:rsid w:val="00936946"/>
    <w:rsid w:val="00953579"/>
    <w:rsid w:val="009855E2"/>
    <w:rsid w:val="009C4312"/>
    <w:rsid w:val="009C4C7A"/>
    <w:rsid w:val="00A031FF"/>
    <w:rsid w:val="00A11D6C"/>
    <w:rsid w:val="00AA4C63"/>
    <w:rsid w:val="00B15565"/>
    <w:rsid w:val="00B26BF9"/>
    <w:rsid w:val="00B45582"/>
    <w:rsid w:val="00B5297B"/>
    <w:rsid w:val="00B54554"/>
    <w:rsid w:val="00B5479A"/>
    <w:rsid w:val="00C245BB"/>
    <w:rsid w:val="00C63121"/>
    <w:rsid w:val="00CB7C02"/>
    <w:rsid w:val="00CC53D6"/>
    <w:rsid w:val="00D03314"/>
    <w:rsid w:val="00D61959"/>
    <w:rsid w:val="00D76EDC"/>
    <w:rsid w:val="00D83627"/>
    <w:rsid w:val="00DE745E"/>
    <w:rsid w:val="00E139E8"/>
    <w:rsid w:val="00EB157D"/>
    <w:rsid w:val="00EF0CAB"/>
    <w:rsid w:val="00EF3CB0"/>
    <w:rsid w:val="00F04D71"/>
    <w:rsid w:val="00F20033"/>
    <w:rsid w:val="00F21E16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AB29-661E-43C0-95AE-5AA2413B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cp:lastPrinted>2021-06-22T07:02:00Z</cp:lastPrinted>
  <dcterms:created xsi:type="dcterms:W3CDTF">2021-06-30T12:40:00Z</dcterms:created>
  <dcterms:modified xsi:type="dcterms:W3CDTF">2025-05-29T08:00:00Z</dcterms:modified>
</cp:coreProperties>
</file>